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74" w:rsidRDefault="009450BA" w:rsidP="00945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28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TALPOS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KONTEINERI</w:t>
      </w:r>
      <w:r>
        <w:rPr>
          <w:rFonts w:ascii="Times New Roman" w:hAnsi="Times New Roman" w:cs="Times New Roman"/>
          <w:b/>
          <w:sz w:val="24"/>
          <w:szCs w:val="24"/>
        </w:rPr>
        <w:t>Ų REMONTO PASLAUGŲ PIRKIMO TECHNINĖS SPECIFIKACIJOS PROJEKTAS</w:t>
      </w:r>
      <w:bookmarkEnd w:id="0"/>
    </w:p>
    <w:p w:rsidR="009450BA" w:rsidRDefault="009450BA" w:rsidP="00945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BA" w:rsidRDefault="006345F0" w:rsidP="009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2016-03</w:t>
      </w:r>
      <w:r w:rsidR="009450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9450BA" w:rsidRDefault="009450BA" w:rsidP="009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9450BA" w:rsidRDefault="009450BA" w:rsidP="009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0BA" w:rsidRDefault="009450BA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Pirkimo objektas.</w:t>
      </w:r>
      <w:r>
        <w:rPr>
          <w:rFonts w:ascii="Times New Roman" w:hAnsi="Times New Roman" w:cs="Times New Roman"/>
          <w:sz w:val="24"/>
          <w:szCs w:val="24"/>
        </w:rPr>
        <w:t xml:space="preserve"> 28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AC2">
        <w:rPr>
          <w:rFonts w:ascii="Times New Roman" w:hAnsi="Times New Roman" w:cs="Times New Roman"/>
          <w:sz w:val="24"/>
          <w:szCs w:val="24"/>
        </w:rPr>
        <w:t>talpos metalinių konteinerių paviršiaus dažų valymo (</w:t>
      </w:r>
      <w:proofErr w:type="spellStart"/>
      <w:r w:rsidR="00334AC2">
        <w:rPr>
          <w:rFonts w:ascii="Times New Roman" w:hAnsi="Times New Roman" w:cs="Times New Roman"/>
          <w:sz w:val="24"/>
          <w:szCs w:val="24"/>
        </w:rPr>
        <w:t>šratavimo</w:t>
      </w:r>
      <w:proofErr w:type="spellEnd"/>
      <w:r w:rsidR="00334AC2">
        <w:rPr>
          <w:rFonts w:ascii="Times New Roman" w:hAnsi="Times New Roman" w:cs="Times New Roman"/>
          <w:sz w:val="24"/>
          <w:szCs w:val="24"/>
        </w:rPr>
        <w:t>), gruntavimo ir dažymo bei smulkių remonto darbų paslaugos.</w:t>
      </w:r>
    </w:p>
    <w:p w:rsidR="00334AC2" w:rsidRDefault="00334AC2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4AC2" w:rsidRDefault="00334AC2" w:rsidP="0034407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Detalus paslaugų aprašymas.</w:t>
      </w:r>
    </w:p>
    <w:p w:rsidR="00334AC2" w:rsidRDefault="00C9740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Paslaugos teikėjas naudodamasis savo darbo jėga, kitomis reikalingomis darbo priemonėmis atlieka 28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talpos m</w:t>
      </w:r>
      <w:r w:rsidR="00DC02DA">
        <w:rPr>
          <w:rFonts w:ascii="Times New Roman" w:hAnsi="Times New Roman" w:cs="Times New Roman"/>
          <w:sz w:val="24"/>
          <w:szCs w:val="24"/>
        </w:rPr>
        <w:t>etalinių konteinerių paviršiaus</w:t>
      </w:r>
      <w:r w:rsidRPr="00DC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valymo (</w:t>
      </w:r>
      <w:proofErr w:type="spellStart"/>
      <w:r>
        <w:rPr>
          <w:rFonts w:ascii="Times New Roman" w:hAnsi="Times New Roman" w:cs="Times New Roman"/>
          <w:sz w:val="24"/>
          <w:szCs w:val="24"/>
        </w:rPr>
        <w:t>šratavimo</w:t>
      </w:r>
      <w:proofErr w:type="spellEnd"/>
      <w:r>
        <w:rPr>
          <w:rFonts w:ascii="Times New Roman" w:hAnsi="Times New Roman" w:cs="Times New Roman"/>
          <w:sz w:val="24"/>
          <w:szCs w:val="24"/>
        </w:rPr>
        <w:t>), gruntavimo ir dažymo paslaugas.  Taip pat, atsižvelgiant į konteinerio būklę</w:t>
      </w:r>
      <w:r w:rsidR="003D6C51">
        <w:rPr>
          <w:rFonts w:ascii="Times New Roman" w:hAnsi="Times New Roman" w:cs="Times New Roman"/>
          <w:sz w:val="24"/>
          <w:szCs w:val="24"/>
        </w:rPr>
        <w:t>, užsakovas gali reikalauti papildomų smulkių remonto darbų atlikimo.</w:t>
      </w:r>
    </w:p>
    <w:p w:rsidR="003D6C51" w:rsidRDefault="003D6C51" w:rsidP="0033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C51" w:rsidRPr="00334AC2" w:rsidRDefault="003D6C51" w:rsidP="00334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Konteinerių techniniai duomenys: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52"/>
      </w:tblGrid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Standartas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DIN 30 722-1:2007-02</w:t>
            </w:r>
          </w:p>
        </w:tc>
      </w:tr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Konteineris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Tipas SP-B-28 Užtraukiamas ant mašinos kabliu</w:t>
            </w:r>
          </w:p>
        </w:tc>
      </w:tr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 xml:space="preserve">Tūris 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 xml:space="preserve"> </w:t>
            </w:r>
            <w:smartTag w:uri="urn:schemas-microsoft-com:office:smarttags" w:element="metricconverter">
              <w:smartTagPr>
                <w:attr w:name="ProductID" w:val="28 m3"/>
              </w:smartTagPr>
              <w:r w:rsidRPr="001C4942">
                <w:rPr>
                  <w:szCs w:val="24"/>
                  <w:lang w:val="lt-LT"/>
                </w:rPr>
                <w:t>28 m</w:t>
              </w:r>
              <w:r w:rsidRPr="001C4942">
                <w:rPr>
                  <w:szCs w:val="24"/>
                  <w:vertAlign w:val="superscript"/>
                  <w:lang w:val="lt-LT"/>
                </w:rPr>
                <w:t>3</w:t>
              </w:r>
            </w:smartTag>
          </w:p>
        </w:tc>
      </w:tr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Durys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Gale, su presavimo anga, užleidžiama šukomis, uždengiama tentu</w:t>
            </w:r>
          </w:p>
        </w:tc>
      </w:tr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 xml:space="preserve">Kablio aukštis 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smartTag w:uri="urn:schemas-microsoft-com:office:smarttags" w:element="metricconverter">
              <w:smartTagPr>
                <w:attr w:name="ProductID" w:val="1570 mm"/>
              </w:smartTagPr>
              <w:r w:rsidRPr="001C4942">
                <w:rPr>
                  <w:szCs w:val="24"/>
                  <w:lang w:val="lt-LT"/>
                </w:rPr>
                <w:t>1570 mm</w:t>
              </w:r>
            </w:smartTag>
          </w:p>
        </w:tc>
      </w:tr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proofErr w:type="spellStart"/>
            <w:r w:rsidRPr="001C4942">
              <w:rPr>
                <w:szCs w:val="24"/>
                <w:lang w:val="lt-LT"/>
              </w:rPr>
              <w:t>Gabaritiniai</w:t>
            </w:r>
            <w:proofErr w:type="spellEnd"/>
            <w:r w:rsidRPr="001C4942">
              <w:rPr>
                <w:szCs w:val="24"/>
                <w:lang w:val="lt-LT"/>
              </w:rPr>
              <w:t xml:space="preserve"> matmenys, mm </w:t>
            </w:r>
          </w:p>
          <w:p w:rsidR="003D6C51" w:rsidRPr="001C4942" w:rsidRDefault="003D6C51" w:rsidP="00877CD6">
            <w:pPr>
              <w:pStyle w:val="Pagrindinistekstas"/>
              <w:numPr>
                <w:ilvl w:val="0"/>
                <w:numId w:val="1"/>
              </w:numPr>
              <w:tabs>
                <w:tab w:val="left" w:pos="142"/>
              </w:tabs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ilgis</w:t>
            </w:r>
          </w:p>
          <w:p w:rsidR="003D6C51" w:rsidRPr="001C4942" w:rsidRDefault="003D6C51" w:rsidP="00877CD6">
            <w:pPr>
              <w:pStyle w:val="Pagrindinistekstas"/>
              <w:numPr>
                <w:ilvl w:val="0"/>
                <w:numId w:val="1"/>
              </w:numPr>
              <w:tabs>
                <w:tab w:val="left" w:pos="142"/>
              </w:tabs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plotis</w:t>
            </w:r>
          </w:p>
          <w:p w:rsidR="003D6C51" w:rsidRPr="001C4942" w:rsidRDefault="003D6C51" w:rsidP="00877CD6">
            <w:pPr>
              <w:pStyle w:val="Pagrindinistekstas"/>
              <w:numPr>
                <w:ilvl w:val="0"/>
                <w:numId w:val="1"/>
              </w:numPr>
              <w:tabs>
                <w:tab w:val="left" w:pos="142"/>
              </w:tabs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aukštis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</w:p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 xml:space="preserve">6500 </w:t>
            </w:r>
          </w:p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 xml:space="preserve">2450 </w:t>
            </w:r>
          </w:p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2565</w:t>
            </w:r>
          </w:p>
        </w:tc>
      </w:tr>
      <w:tr w:rsidR="003D6C51" w:rsidRPr="00604D83" w:rsidTr="00877CD6">
        <w:trPr>
          <w:jc w:val="center"/>
        </w:trPr>
        <w:tc>
          <w:tcPr>
            <w:tcW w:w="3794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Svoris kg.</w:t>
            </w:r>
          </w:p>
        </w:tc>
        <w:tc>
          <w:tcPr>
            <w:tcW w:w="5152" w:type="dxa"/>
          </w:tcPr>
          <w:p w:rsidR="003D6C51" w:rsidRPr="001C4942" w:rsidRDefault="003D6C51" w:rsidP="00877CD6">
            <w:pPr>
              <w:pStyle w:val="Pagrindinistekstas"/>
              <w:rPr>
                <w:szCs w:val="24"/>
                <w:lang w:val="lt-LT"/>
              </w:rPr>
            </w:pPr>
            <w:r w:rsidRPr="001C4942">
              <w:rPr>
                <w:szCs w:val="24"/>
                <w:lang w:val="lt-LT"/>
              </w:rPr>
              <w:t>2920</w:t>
            </w:r>
          </w:p>
        </w:tc>
      </w:tr>
    </w:tbl>
    <w:p w:rsidR="00334AC2" w:rsidRDefault="00334AC2" w:rsidP="0033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51" w:rsidRDefault="003D6C51" w:rsidP="003D6C51">
      <w:r>
        <w:rPr>
          <w:noProof/>
          <w:lang w:eastAsia="lt-LT"/>
        </w:rPr>
        <w:drawing>
          <wp:inline distT="0" distB="0" distL="0" distR="0">
            <wp:extent cx="3096618" cy="1828800"/>
            <wp:effectExtent l="0" t="0" r="889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1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608348" cy="2790825"/>
            <wp:effectExtent l="0" t="0" r="190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48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51" w:rsidRDefault="003D6C51" w:rsidP="00BA6C5D">
      <w:pPr>
        <w:spacing w:after="0"/>
        <w:rPr>
          <w:i/>
        </w:rPr>
      </w:pPr>
      <w:r>
        <w:rPr>
          <w:i/>
          <w:noProof/>
          <w:lang w:eastAsia="lt-LT"/>
        </w:rPr>
        <w:lastRenderedPageBreak/>
        <w:drawing>
          <wp:inline distT="0" distB="0" distL="0" distR="0">
            <wp:extent cx="6000750" cy="24582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53" cy="24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51" w:rsidRDefault="003D6C51" w:rsidP="00BA6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6000750" cy="200959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C2" w:rsidRDefault="00344073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Planuojami konteinerių remonto darbai:</w:t>
      </w:r>
    </w:p>
    <w:p w:rsidR="00344073" w:rsidRPr="001E25C5" w:rsidRDefault="00344073" w:rsidP="0034407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1. Konteinerių išorės rūd</w:t>
      </w:r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žių ir dažų valymas </w:t>
      </w:r>
      <w:proofErr w:type="spellStart"/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abrazyviniu</w:t>
      </w:r>
      <w:proofErr w:type="spellEnd"/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srautiniu metodu </w:t>
      </w:r>
      <w:proofErr w:type="spellStart"/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abrazyviniais</w:t>
      </w:r>
      <w:proofErr w:type="spellEnd"/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šratais iki </w:t>
      </w:r>
      <w:proofErr w:type="spellStart"/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DC02DA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2,5 švarumo klasės pagal LST EN ISO 8501-1, iki vidutinio paviršiaus šiurkštumo pagal LST EN ISO 8503-2</w:t>
      </w:r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4073" w:rsidRPr="001E25C5" w:rsidRDefault="00DB0CAF" w:rsidP="005A5BC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Konteinerių paviršiaus dažymas pagal standartą LST EN ISO 12944 (aplinkos </w:t>
      </w:r>
      <w:proofErr w:type="spellStart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koraziškumo</w:t>
      </w:r>
      <w:proofErr w:type="spellEnd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kategorija C</w:t>
      </w:r>
      <w:r w:rsidRPr="001E25C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klasės, dangos ilgaamžiškumas M klasės). Paviršius dengiamas agresyviai aplinkai ir mechaniniams poveikiams atsparia danga. </w:t>
      </w:r>
      <w:r w:rsidR="00EE42A3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Gruntuojamas</w:t>
      </w:r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proofErr w:type="spellStart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µm</w:t>
      </w:r>
      <w:proofErr w:type="spellEnd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alkidiniu</w:t>
      </w:r>
      <w:proofErr w:type="spellEnd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gruntu ir dažomas 40 </w:t>
      </w:r>
      <w:proofErr w:type="spellStart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µm</w:t>
      </w:r>
      <w:proofErr w:type="spellEnd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alkidiniais</w:t>
      </w:r>
      <w:proofErr w:type="spellEnd"/>
      <w:r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dažais pagal LST EN ISO 12944. </w:t>
      </w:r>
      <w:r w:rsidR="005A5BCF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Spalva RAL</w:t>
      </w:r>
      <w:r w:rsidR="004E29E7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96F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003C">
        <w:rPr>
          <w:rFonts w:ascii="Times New Roman" w:hAnsi="Times New Roman" w:cs="Times New Roman"/>
          <w:color w:val="000000" w:themeColor="text1"/>
          <w:sz w:val="24"/>
          <w:szCs w:val="24"/>
        </w:rPr>
        <w:t>5015</w:t>
      </w:r>
      <w:r w:rsidR="0006796F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(mėlyna)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073">
        <w:rPr>
          <w:rFonts w:ascii="Times New Roman" w:hAnsi="Times New Roman" w:cs="Times New Roman"/>
          <w:sz w:val="24"/>
          <w:szCs w:val="24"/>
        </w:rPr>
        <w:t>. Papildomi konteinerio remonto darbai pagal poreikį: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.1. Durų lankstų remontas gaminant naujus pirštus;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.2. Pavažiavimo ritinėlių remontas;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.3. Užtraukimo ąsos remontas;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.4. Smulkių konstrukcijos įtrūkimų suvirinimas;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.5. Deformuotų durų karkaso remontas, sustiprinant pastūmimo zoną;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.6. Durų fiksavimo kronšteinų remontas;</w:t>
      </w:r>
    </w:p>
    <w:p w:rsidR="00344073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44073">
        <w:rPr>
          <w:rFonts w:ascii="Times New Roman" w:hAnsi="Times New Roman" w:cs="Times New Roman"/>
          <w:sz w:val="24"/>
          <w:szCs w:val="24"/>
        </w:rPr>
        <w:t>.7. Durų prilaikymo grandinių ir jų užkabinimo ąsų remontas;</w:t>
      </w:r>
    </w:p>
    <w:p w:rsidR="00C63A05" w:rsidRDefault="005A5BCF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63A05">
        <w:rPr>
          <w:rFonts w:ascii="Times New Roman" w:hAnsi="Times New Roman" w:cs="Times New Roman"/>
          <w:sz w:val="24"/>
          <w:szCs w:val="24"/>
        </w:rPr>
        <w:t>.8. Kitų nenumatytų defektų, išaiškėjusių remonto metu, šalinimas.</w:t>
      </w:r>
    </w:p>
    <w:p w:rsidR="00C63A05" w:rsidRDefault="00C63A05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3A05" w:rsidRDefault="00C63A05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Paslaugos teikėjas paslaugas atlieka su Užsakovu sutartu laiku, ne vėliau kaip per </w:t>
      </w:r>
      <w:r w:rsidR="00067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darbo dienų</w:t>
      </w:r>
      <w:r w:rsidR="0006796F">
        <w:rPr>
          <w:rFonts w:ascii="Times New Roman" w:hAnsi="Times New Roman" w:cs="Times New Roman"/>
          <w:sz w:val="24"/>
          <w:szCs w:val="24"/>
        </w:rPr>
        <w:t xml:space="preserve"> (vienam konteineriui)</w:t>
      </w:r>
      <w:r>
        <w:rPr>
          <w:rFonts w:ascii="Times New Roman" w:hAnsi="Times New Roman" w:cs="Times New Roman"/>
          <w:sz w:val="24"/>
          <w:szCs w:val="24"/>
        </w:rPr>
        <w:t xml:space="preserve"> nuo užsakymo gavimo dienos.</w:t>
      </w:r>
    </w:p>
    <w:p w:rsidR="00C63A05" w:rsidRDefault="00C63A05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Konteinerius remontui Užsakovas pristato savo transportu į p</w:t>
      </w:r>
      <w:r w:rsidR="00BF404B">
        <w:rPr>
          <w:rFonts w:ascii="Times New Roman" w:hAnsi="Times New Roman" w:cs="Times New Roman"/>
          <w:sz w:val="24"/>
          <w:szCs w:val="24"/>
        </w:rPr>
        <w:t>aslaugos Teikėjo nurodytą vietą</w:t>
      </w:r>
      <w:r w:rsidR="0006796F">
        <w:rPr>
          <w:rFonts w:ascii="Times New Roman" w:hAnsi="Times New Roman" w:cs="Times New Roman"/>
          <w:sz w:val="24"/>
          <w:szCs w:val="24"/>
        </w:rPr>
        <w:t xml:space="preserve"> </w:t>
      </w:r>
      <w:r w:rsidR="0006796F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404B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toliau </w:t>
      </w:r>
      <w:r w:rsidR="00895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kaip </w:t>
      </w:r>
      <w:r w:rsidR="00EE42A3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6796F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km. </w:t>
      </w:r>
      <w:r w:rsidR="00F751E6">
        <w:rPr>
          <w:rFonts w:ascii="Times New Roman" w:hAnsi="Times New Roman" w:cs="Times New Roman"/>
          <w:color w:val="000000" w:themeColor="text1"/>
          <w:sz w:val="24"/>
          <w:szCs w:val="24"/>
        </w:rPr>
        <w:t>atstumu nuo Panevėžio regioninio sąvartyno, adresu Dvarininkų k., Miežiškių sen.</w:t>
      </w:r>
      <w:r w:rsidR="00BF404B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42A3" w:rsidRPr="001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Remonto paslaugos atliekamos teikėjo patalpose.</w:t>
      </w:r>
    </w:p>
    <w:p w:rsidR="006345F0" w:rsidRDefault="006345F0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Paslaugų teikimo terminas – 12 mėnesių nuo sutarties sudarymo dienos su galimybe pratęsti sutarties terminas 2 kartus iki 12 mėnesių laikotarpiui.</w:t>
      </w:r>
    </w:p>
    <w:p w:rsidR="00BA6C5D" w:rsidRDefault="00BA6C5D" w:rsidP="003440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6C5D" w:rsidRDefault="00BA6C5D" w:rsidP="00BA6C5D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A6C5D">
        <w:rPr>
          <w:rFonts w:ascii="Times New Roman" w:eastAsia="Times New Roman" w:hAnsi="Times New Roman"/>
          <w:sz w:val="24"/>
          <w:szCs w:val="24"/>
          <w:u w:val="single"/>
        </w:rPr>
        <w:t xml:space="preserve">Pasiūlymus dėl techninės specifikacijos projekto teikti iki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2016</w:t>
      </w:r>
      <w:r w:rsidRPr="00BA6C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m.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kovo</w:t>
      </w:r>
      <w:r w:rsidRPr="00BA6C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6345F0">
        <w:rPr>
          <w:rFonts w:ascii="Times New Roman" w:eastAsia="Times New Roman" w:hAnsi="Times New Roman"/>
          <w:b/>
          <w:sz w:val="24"/>
          <w:szCs w:val="24"/>
          <w:u w:val="single"/>
        </w:rPr>
        <w:t>14</w:t>
      </w:r>
      <w:r w:rsidRPr="00BA6C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d. </w:t>
      </w:r>
      <w:r w:rsidR="006345F0">
        <w:rPr>
          <w:rFonts w:ascii="Times New Roman" w:eastAsia="Times New Roman" w:hAnsi="Times New Roman"/>
          <w:b/>
          <w:sz w:val="24"/>
          <w:szCs w:val="24"/>
          <w:u w:val="single"/>
        </w:rPr>
        <w:t>12</w:t>
      </w:r>
      <w:r w:rsidRPr="00BA6C5D">
        <w:rPr>
          <w:rFonts w:ascii="Times New Roman" w:eastAsia="Times New Roman" w:hAnsi="Times New Roman"/>
          <w:b/>
          <w:sz w:val="24"/>
          <w:szCs w:val="24"/>
          <w:u w:val="single"/>
        </w:rPr>
        <w:t>.00 val.</w:t>
      </w:r>
      <w:r w:rsidRPr="00BA6C5D">
        <w:rPr>
          <w:rFonts w:ascii="Times New Roman" w:eastAsia="Times New Roman" w:hAnsi="Times New Roman"/>
          <w:sz w:val="24"/>
          <w:szCs w:val="24"/>
        </w:rPr>
        <w:t xml:space="preserve"> eksploatavimo inžinieriui </w:t>
      </w:r>
      <w:r>
        <w:rPr>
          <w:rFonts w:ascii="Times New Roman" w:eastAsia="Times New Roman" w:hAnsi="Times New Roman"/>
          <w:sz w:val="24"/>
          <w:szCs w:val="24"/>
        </w:rPr>
        <w:t>Kazimierui Šinkūnui tel. 8 612 13 036</w:t>
      </w:r>
      <w:r w:rsidRPr="00BA6C5D">
        <w:rPr>
          <w:rFonts w:ascii="Times New Roman" w:eastAsia="Times New Roman" w:hAnsi="Times New Roman"/>
          <w:sz w:val="24"/>
          <w:szCs w:val="24"/>
        </w:rPr>
        <w:t>, el.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5D">
        <w:rPr>
          <w:rFonts w:ascii="Times New Roman" w:eastAsia="Times New Roman" w:hAnsi="Times New Roman"/>
          <w:sz w:val="24"/>
          <w:szCs w:val="24"/>
        </w:rPr>
        <w:t xml:space="preserve">paštu </w:t>
      </w:r>
      <w:hyperlink r:id="rId13" w:history="1">
        <w:r w:rsidRPr="00E3769E">
          <w:rPr>
            <w:rStyle w:val="Hipersaitas"/>
            <w:rFonts w:ascii="Times New Roman" w:eastAsia="Times New Roman" w:hAnsi="Times New Roman"/>
            <w:sz w:val="24"/>
            <w:szCs w:val="24"/>
          </w:rPr>
          <w:t>kazimieras.sinkunas@pratc.lt</w:t>
        </w:r>
      </w:hyperlink>
      <w:r w:rsidRPr="00BA6C5D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A6C5D">
        <w:rPr>
          <w:rFonts w:ascii="Times New Roman" w:eastAsia="Times New Roman" w:hAnsi="Times New Roman"/>
          <w:sz w:val="24"/>
          <w:szCs w:val="24"/>
        </w:rPr>
        <w:t xml:space="preserve">viešųjų pirkimų specialistei </w:t>
      </w:r>
      <w:r>
        <w:rPr>
          <w:rFonts w:ascii="Times New Roman" w:eastAsia="Times New Roman" w:hAnsi="Times New Roman"/>
          <w:sz w:val="24"/>
          <w:szCs w:val="24"/>
        </w:rPr>
        <w:t xml:space="preserve">Astai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Strelčiūnienei</w:t>
      </w:r>
      <w:proofErr w:type="spellEnd"/>
      <w:r w:rsidRPr="00BA6C5D">
        <w:rPr>
          <w:rFonts w:ascii="Times New Roman" w:eastAsia="Times New Roman" w:hAnsi="Times New Roman"/>
          <w:sz w:val="24"/>
          <w:szCs w:val="24"/>
        </w:rPr>
        <w:t xml:space="preserve"> el. paštu </w:t>
      </w:r>
      <w:hyperlink r:id="rId14" w:history="1">
        <w:r w:rsidRPr="00E3769E">
          <w:rPr>
            <w:rStyle w:val="Hipersaitas"/>
            <w:rFonts w:ascii="Times New Roman" w:eastAsia="Times New Roman" w:hAnsi="Times New Roman"/>
            <w:sz w:val="24"/>
            <w:szCs w:val="24"/>
          </w:rPr>
          <w:t>asta.strelciuniene@pratc.lt</w:t>
        </w:r>
      </w:hyperlink>
      <w:r w:rsidRPr="00BA6C5D">
        <w:rPr>
          <w:rFonts w:ascii="Times New Roman" w:eastAsia="Times New Roman" w:hAnsi="Times New Roman"/>
          <w:sz w:val="24"/>
          <w:szCs w:val="24"/>
        </w:rPr>
        <w:t>, tel. (8 45) 43 21 99.</w:t>
      </w:r>
    </w:p>
    <w:p w:rsidR="006345F0" w:rsidRDefault="006345F0" w:rsidP="00BA6C5D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A6C5D" w:rsidRPr="00BA6C5D" w:rsidRDefault="00BA6C5D" w:rsidP="00BA6C5D">
      <w:pPr>
        <w:spacing w:after="0"/>
        <w:ind w:firstLine="851"/>
        <w:jc w:val="center"/>
        <w:rPr>
          <w:rFonts w:ascii="Times New Roman" w:eastAsia="Times New Roman" w:hAnsi="Times New Roman"/>
          <w:sz w:val="16"/>
          <w:szCs w:val="24"/>
        </w:rPr>
      </w:pPr>
      <w:r w:rsidRPr="00BA6C5D">
        <w:rPr>
          <w:rFonts w:ascii="Times New Roman" w:eastAsia="Times New Roman" w:hAnsi="Times New Roman"/>
          <w:sz w:val="16"/>
          <w:szCs w:val="24"/>
        </w:rPr>
        <w:t>____________</w:t>
      </w:r>
      <w:r>
        <w:rPr>
          <w:rFonts w:ascii="Times New Roman" w:eastAsia="Times New Roman" w:hAnsi="Times New Roman"/>
          <w:sz w:val="16"/>
          <w:szCs w:val="24"/>
        </w:rPr>
        <w:t>________</w:t>
      </w:r>
    </w:p>
    <w:sectPr w:rsidR="00BA6C5D" w:rsidRPr="00BA6C5D" w:rsidSect="00BF404B">
      <w:headerReference w:type="default" r:id="rId15"/>
      <w:pgSz w:w="11906" w:h="16838"/>
      <w:pgMar w:top="1134" w:right="851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8D" w:rsidRDefault="00C56B8D" w:rsidP="003D6C51">
      <w:pPr>
        <w:spacing w:after="0" w:line="240" w:lineRule="auto"/>
      </w:pPr>
      <w:r>
        <w:separator/>
      </w:r>
    </w:p>
  </w:endnote>
  <w:endnote w:type="continuationSeparator" w:id="0">
    <w:p w:rsidR="00C56B8D" w:rsidRDefault="00C56B8D" w:rsidP="003D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8D" w:rsidRDefault="00C56B8D" w:rsidP="003D6C51">
      <w:pPr>
        <w:spacing w:after="0" w:line="240" w:lineRule="auto"/>
      </w:pPr>
      <w:r>
        <w:separator/>
      </w:r>
    </w:p>
  </w:footnote>
  <w:footnote w:type="continuationSeparator" w:id="0">
    <w:p w:rsidR="00C56B8D" w:rsidRDefault="00C56B8D" w:rsidP="003D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227648"/>
      <w:docPartObj>
        <w:docPartGallery w:val="Page Numbers (Top of Page)"/>
        <w:docPartUnique/>
      </w:docPartObj>
    </w:sdtPr>
    <w:sdtEndPr/>
    <w:sdtContent>
      <w:p w:rsidR="003D6C51" w:rsidRDefault="003D6C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C6">
          <w:rPr>
            <w:noProof/>
          </w:rPr>
          <w:t>2</w:t>
        </w:r>
        <w:r>
          <w:fldChar w:fldCharType="end"/>
        </w:r>
      </w:p>
    </w:sdtContent>
  </w:sdt>
  <w:p w:rsidR="003D6C51" w:rsidRDefault="003D6C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E9C"/>
    <w:multiLevelType w:val="hybridMultilevel"/>
    <w:tmpl w:val="F33E39E0"/>
    <w:lvl w:ilvl="0" w:tplc="14A6A60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C"/>
    <w:rsid w:val="00041F54"/>
    <w:rsid w:val="0006796F"/>
    <w:rsid w:val="001B003C"/>
    <w:rsid w:val="001E25C5"/>
    <w:rsid w:val="00334AC2"/>
    <w:rsid w:val="00344073"/>
    <w:rsid w:val="003D6C51"/>
    <w:rsid w:val="004E29E7"/>
    <w:rsid w:val="005A5BCF"/>
    <w:rsid w:val="006345F0"/>
    <w:rsid w:val="006E7989"/>
    <w:rsid w:val="00734D11"/>
    <w:rsid w:val="00850474"/>
    <w:rsid w:val="008952C6"/>
    <w:rsid w:val="008F6D08"/>
    <w:rsid w:val="00903A0E"/>
    <w:rsid w:val="009450BA"/>
    <w:rsid w:val="0095389D"/>
    <w:rsid w:val="009A4FFC"/>
    <w:rsid w:val="009E3A63"/>
    <w:rsid w:val="00A130D7"/>
    <w:rsid w:val="00A441B1"/>
    <w:rsid w:val="00AB36C3"/>
    <w:rsid w:val="00BA6C5D"/>
    <w:rsid w:val="00BF404B"/>
    <w:rsid w:val="00C13BC5"/>
    <w:rsid w:val="00C56B8D"/>
    <w:rsid w:val="00C63A05"/>
    <w:rsid w:val="00C9740F"/>
    <w:rsid w:val="00DB0CAF"/>
    <w:rsid w:val="00DC02DA"/>
    <w:rsid w:val="00DD0984"/>
    <w:rsid w:val="00EE42A3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D6C51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val="x-none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D6C51"/>
    <w:rPr>
      <w:rFonts w:ascii="Times New Roman" w:eastAsia="Times New Roman" w:hAnsi="Times New Roman" w:cs="Times New Roman"/>
      <w:kern w:val="28"/>
      <w:sz w:val="24"/>
      <w:szCs w:val="20"/>
      <w:lang w:val="x-none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6C5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D6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6C51"/>
  </w:style>
  <w:style w:type="paragraph" w:styleId="Porat">
    <w:name w:val="footer"/>
    <w:basedOn w:val="prastasis"/>
    <w:link w:val="PoratDiagrama"/>
    <w:uiPriority w:val="99"/>
    <w:unhideWhenUsed/>
    <w:rsid w:val="003D6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6C51"/>
  </w:style>
  <w:style w:type="character" w:styleId="Hipersaitas">
    <w:name w:val="Hyperlink"/>
    <w:uiPriority w:val="99"/>
    <w:unhideWhenUsed/>
    <w:rsid w:val="00BA6C5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D6C51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val="x-none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D6C51"/>
    <w:rPr>
      <w:rFonts w:ascii="Times New Roman" w:eastAsia="Times New Roman" w:hAnsi="Times New Roman" w:cs="Times New Roman"/>
      <w:kern w:val="28"/>
      <w:sz w:val="24"/>
      <w:szCs w:val="20"/>
      <w:lang w:val="x-none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6C5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D6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6C51"/>
  </w:style>
  <w:style w:type="paragraph" w:styleId="Porat">
    <w:name w:val="footer"/>
    <w:basedOn w:val="prastasis"/>
    <w:link w:val="PoratDiagrama"/>
    <w:uiPriority w:val="99"/>
    <w:unhideWhenUsed/>
    <w:rsid w:val="003D6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6C51"/>
  </w:style>
  <w:style w:type="character" w:styleId="Hipersaitas">
    <w:name w:val="Hyperlink"/>
    <w:uiPriority w:val="99"/>
    <w:unhideWhenUsed/>
    <w:rsid w:val="00BA6C5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imieras.sinkunas@pratc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sta.strelciuniene@prat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4783-F1CA-4AA7-A8F4-1A57C985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2016-02-26T09:55:00Z</dcterms:created>
  <dcterms:modified xsi:type="dcterms:W3CDTF">2016-03-03T11:18:00Z</dcterms:modified>
</cp:coreProperties>
</file>